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EC" w:rsidRPr="00392975" w:rsidRDefault="00D22047" w:rsidP="0039297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92975">
        <w:rPr>
          <w:rFonts w:asciiTheme="majorBidi" w:hAnsiTheme="majorBidi" w:cstheme="majorBidi"/>
          <w:b/>
          <w:bCs/>
          <w:sz w:val="28"/>
          <w:szCs w:val="28"/>
        </w:rPr>
        <w:t>GRAFICE legate de mortalitatea în Căminul</w:t>
      </w:r>
      <w:r w:rsidR="009620EC" w:rsidRPr="00392975">
        <w:rPr>
          <w:rFonts w:asciiTheme="majorBidi" w:hAnsiTheme="majorBidi" w:cstheme="majorBidi"/>
          <w:b/>
          <w:bCs/>
          <w:sz w:val="28"/>
          <w:szCs w:val="28"/>
        </w:rPr>
        <w:t xml:space="preserve"> p</w:t>
      </w:r>
      <w:r w:rsidRPr="00392975">
        <w:rPr>
          <w:rFonts w:asciiTheme="majorBidi" w:hAnsiTheme="majorBidi" w:cstheme="majorBidi"/>
          <w:b/>
          <w:bCs/>
          <w:sz w:val="28"/>
          <w:szCs w:val="28"/>
        </w:rPr>
        <w:t xml:space="preserve">entru Deficienți Nerecuperabili </w:t>
      </w:r>
      <w:proofErr w:type="spellStart"/>
      <w:r w:rsidRPr="00392975">
        <w:rPr>
          <w:rFonts w:asciiTheme="majorBidi" w:hAnsiTheme="majorBidi" w:cstheme="majorBidi"/>
          <w:b/>
          <w:bCs/>
          <w:sz w:val="28"/>
          <w:szCs w:val="28"/>
        </w:rPr>
        <w:t>Moreni-Țuicani</w:t>
      </w:r>
      <w:proofErr w:type="spellEnd"/>
      <w:r w:rsidRPr="00392975">
        <w:rPr>
          <w:rFonts w:asciiTheme="majorBidi" w:hAnsiTheme="majorBidi" w:cstheme="majorBidi"/>
          <w:b/>
          <w:bCs/>
          <w:sz w:val="28"/>
          <w:szCs w:val="28"/>
        </w:rPr>
        <w:t xml:space="preserve"> (1970-1997)</w:t>
      </w:r>
      <w:r w:rsidR="00ED7906" w:rsidRPr="00392975">
        <w:rPr>
          <w:rStyle w:val="FootnoteReference"/>
          <w:rFonts w:asciiTheme="majorBidi" w:hAnsiTheme="majorBidi" w:cstheme="majorBidi"/>
          <w:b/>
          <w:bCs/>
          <w:sz w:val="28"/>
          <w:szCs w:val="28"/>
        </w:rPr>
        <w:footnoteReference w:id="1"/>
      </w:r>
    </w:p>
    <w:p w:rsidR="00F61A5A" w:rsidRPr="00D22047" w:rsidRDefault="00F34C4C" w:rsidP="00F34C4C">
      <w:pPr>
        <w:spacing w:before="2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1.</w:t>
      </w:r>
      <w:r w:rsidR="00456C82" w:rsidRPr="00D2204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DECESE</w:t>
      </w:r>
      <w:r w:rsidR="00456C82" w:rsidRPr="00D22047">
        <w:rPr>
          <w:rFonts w:asciiTheme="majorBidi" w:hAnsiTheme="majorBidi" w:cstheme="majorBidi"/>
          <w:b/>
          <w:bCs/>
          <w:sz w:val="24"/>
          <w:szCs w:val="24"/>
        </w:rPr>
        <w:t xml:space="preserve"> în </w:t>
      </w:r>
      <w:r w:rsidR="00D22047" w:rsidRPr="00D22047">
        <w:rPr>
          <w:rFonts w:asciiTheme="majorBidi" w:hAnsiTheme="majorBidi" w:cstheme="majorBidi"/>
          <w:b/>
          <w:bCs/>
          <w:sz w:val="24"/>
          <w:szCs w:val="24"/>
        </w:rPr>
        <w:t>Căminul-spital pentru deficienți nerecuperabili Moreni</w:t>
      </w:r>
      <w:r w:rsidR="00D22047">
        <w:rPr>
          <w:rFonts w:asciiTheme="majorBidi" w:hAnsiTheme="majorBidi" w:cstheme="majorBidi"/>
          <w:b/>
          <w:bCs/>
          <w:sz w:val="24"/>
          <w:szCs w:val="24"/>
        </w:rPr>
        <w:t xml:space="preserve"> (1970-1997)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- pe ani</w:t>
      </w:r>
    </w:p>
    <w:p w:rsidR="00ED7906" w:rsidRPr="00392975" w:rsidRDefault="00F34C4C" w:rsidP="00392975">
      <w:pPr>
        <w:rPr>
          <w:lang w:val="en-US"/>
        </w:rPr>
      </w:pPr>
      <w:r w:rsidRPr="00F34C4C">
        <w:rPr>
          <w:noProof/>
          <w:lang w:val="en-US"/>
        </w:rPr>
        <w:drawing>
          <wp:inline distT="0" distB="0" distL="0" distR="0">
            <wp:extent cx="6124575" cy="3686175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ED7906">
        <w:rPr>
          <w:rFonts w:asciiTheme="majorBidi" w:hAnsiTheme="majorBidi" w:cstheme="majorBidi"/>
          <w:b/>
          <w:bCs/>
          <w:sz w:val="24"/>
          <w:szCs w:val="24"/>
          <w:lang w:val="en-US"/>
        </w:rPr>
        <w:t>1.</w:t>
      </w:r>
      <w:r w:rsidR="00ED7906" w:rsidRPr="00D2204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ED790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DECESE</w:t>
      </w:r>
      <w:r w:rsidR="00ED7906" w:rsidRPr="00D22047">
        <w:rPr>
          <w:rFonts w:asciiTheme="majorBidi" w:hAnsiTheme="majorBidi" w:cstheme="majorBidi"/>
          <w:b/>
          <w:bCs/>
          <w:sz w:val="24"/>
          <w:szCs w:val="24"/>
        </w:rPr>
        <w:t xml:space="preserve"> în Căminul-spital pentru deficienți nerecuperabili Moreni</w:t>
      </w:r>
      <w:r w:rsidR="00ED7906">
        <w:rPr>
          <w:rFonts w:asciiTheme="majorBidi" w:hAnsiTheme="majorBidi" w:cstheme="majorBidi"/>
          <w:b/>
          <w:bCs/>
          <w:sz w:val="24"/>
          <w:szCs w:val="24"/>
        </w:rPr>
        <w:t xml:space="preserve"> (1970-1997) - </w:t>
      </w:r>
      <w:r w:rsidR="00ED7906" w:rsidRPr="00E64734">
        <w:rPr>
          <w:rFonts w:asciiTheme="majorBidi" w:hAnsiTheme="majorBidi" w:cstheme="majorBidi"/>
          <w:b/>
          <w:bCs/>
          <w:sz w:val="24"/>
          <w:szCs w:val="24"/>
        </w:rPr>
        <w:t>după lunile în care s-au produs</w:t>
      </w:r>
    </w:p>
    <w:p w:rsidR="00D22047" w:rsidRDefault="00F34C4C" w:rsidP="00D22047">
      <w:pPr>
        <w:rPr>
          <w:lang w:val="en-US"/>
        </w:rPr>
      </w:pPr>
      <w:r w:rsidRPr="00F34C4C">
        <w:rPr>
          <w:noProof/>
          <w:lang w:val="en-US"/>
        </w:rPr>
        <w:drawing>
          <wp:inline distT="0" distB="0" distL="0" distR="0">
            <wp:extent cx="5943600" cy="30861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92975" w:rsidRDefault="00392975" w:rsidP="00F1377A">
      <w:pPr>
        <w:spacing w:before="240"/>
        <w:rPr>
          <w:rFonts w:asciiTheme="majorBidi" w:hAnsiTheme="majorBidi" w:cstheme="majorBidi"/>
          <w:b/>
          <w:bCs/>
          <w:sz w:val="24"/>
          <w:szCs w:val="24"/>
        </w:rPr>
      </w:pPr>
    </w:p>
    <w:p w:rsidR="00F1377A" w:rsidRPr="00ED7906" w:rsidRDefault="00F1377A" w:rsidP="00F1377A">
      <w:pPr>
        <w:spacing w:before="2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 w:rsidRPr="00E64734">
        <w:rPr>
          <w:rFonts w:asciiTheme="majorBidi" w:hAnsiTheme="majorBidi" w:cstheme="majorBidi"/>
          <w:b/>
          <w:bCs/>
          <w:sz w:val="24"/>
          <w:szCs w:val="24"/>
        </w:rPr>
        <w:t>Decese în</w:t>
      </w:r>
      <w:r w:rsidRPr="00F1377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22047">
        <w:rPr>
          <w:rFonts w:asciiTheme="majorBidi" w:hAnsiTheme="majorBidi" w:cstheme="majorBidi"/>
          <w:b/>
          <w:bCs/>
          <w:sz w:val="24"/>
          <w:szCs w:val="24"/>
        </w:rPr>
        <w:t>Căminul-spital pentru deficienți nerecuperabili Moreni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(1970-1997) - </w:t>
      </w:r>
      <w:r w:rsidRPr="00E64734">
        <w:rPr>
          <w:rFonts w:asciiTheme="majorBidi" w:hAnsiTheme="majorBidi" w:cstheme="majorBidi"/>
          <w:b/>
          <w:bCs/>
          <w:sz w:val="24"/>
          <w:szCs w:val="24"/>
        </w:rPr>
        <w:t>pe vârste</w:t>
      </w:r>
    </w:p>
    <w:p w:rsidR="00ED7906" w:rsidRPr="00F1377A" w:rsidRDefault="00F1377A" w:rsidP="00D22047">
      <w:r w:rsidRPr="00F1377A">
        <w:rPr>
          <w:noProof/>
          <w:lang w:val="en-US"/>
        </w:rPr>
        <w:drawing>
          <wp:inline distT="0" distB="0" distL="0" distR="0">
            <wp:extent cx="5829300" cy="3486150"/>
            <wp:effectExtent l="19050" t="0" r="0" b="0"/>
            <wp:docPr id="6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377A" w:rsidRDefault="00CA5DA5" w:rsidP="00F1377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4. </w:t>
      </w:r>
      <w:r w:rsidR="00F1377A" w:rsidRPr="00E64734">
        <w:rPr>
          <w:rFonts w:asciiTheme="majorBidi" w:hAnsiTheme="majorBidi" w:cstheme="majorBidi"/>
          <w:b/>
          <w:bCs/>
          <w:sz w:val="24"/>
          <w:szCs w:val="24"/>
        </w:rPr>
        <w:t>Decese în</w:t>
      </w:r>
      <w:r w:rsidR="00F1377A" w:rsidRPr="00F1377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1377A" w:rsidRPr="00D22047">
        <w:rPr>
          <w:rFonts w:asciiTheme="majorBidi" w:hAnsiTheme="majorBidi" w:cstheme="majorBidi"/>
          <w:b/>
          <w:bCs/>
          <w:sz w:val="24"/>
          <w:szCs w:val="24"/>
        </w:rPr>
        <w:t>Căminul-spital pentru deficienți nerecuperabili Moreni</w:t>
      </w:r>
      <w:r w:rsidR="00F1377A">
        <w:rPr>
          <w:rFonts w:asciiTheme="majorBidi" w:hAnsiTheme="majorBidi" w:cstheme="majorBidi"/>
          <w:b/>
          <w:bCs/>
          <w:sz w:val="24"/>
          <w:szCs w:val="24"/>
        </w:rPr>
        <w:t xml:space="preserve"> (1970-1997) – </w:t>
      </w:r>
      <w:r w:rsidR="00F1377A" w:rsidRPr="00E64734">
        <w:rPr>
          <w:rFonts w:asciiTheme="majorBidi" w:hAnsiTheme="majorBidi" w:cstheme="majorBidi"/>
          <w:b/>
          <w:bCs/>
          <w:sz w:val="24"/>
          <w:szCs w:val="24"/>
        </w:rPr>
        <w:t>pe</w:t>
      </w:r>
      <w:r w:rsidR="00F1377A">
        <w:rPr>
          <w:rFonts w:asciiTheme="majorBidi" w:hAnsiTheme="majorBidi" w:cstheme="majorBidi"/>
          <w:b/>
          <w:bCs/>
          <w:sz w:val="24"/>
          <w:szCs w:val="24"/>
        </w:rPr>
        <w:t xml:space="preserve"> grupe de</w:t>
      </w:r>
      <w:r w:rsidR="00F1377A" w:rsidRPr="00E64734">
        <w:rPr>
          <w:rFonts w:asciiTheme="majorBidi" w:hAnsiTheme="majorBidi" w:cstheme="majorBidi"/>
          <w:b/>
          <w:bCs/>
          <w:sz w:val="24"/>
          <w:szCs w:val="24"/>
        </w:rPr>
        <w:t xml:space="preserve"> vârst</w:t>
      </w:r>
      <w:r w:rsidR="00F1377A">
        <w:rPr>
          <w:rFonts w:asciiTheme="majorBidi" w:hAnsiTheme="majorBidi" w:cstheme="majorBidi"/>
          <w:b/>
          <w:bCs/>
          <w:sz w:val="24"/>
          <w:szCs w:val="24"/>
        </w:rPr>
        <w:t>ă</w:t>
      </w:r>
    </w:p>
    <w:p w:rsidR="00CA5DA5" w:rsidRDefault="00CA5DA5" w:rsidP="00F1377A">
      <w:pPr>
        <w:rPr>
          <w:lang w:val="en-US"/>
        </w:rPr>
      </w:pPr>
      <w:r w:rsidRPr="00CA5DA5">
        <w:rPr>
          <w:noProof/>
          <w:lang w:val="en-US"/>
        </w:rPr>
        <w:drawing>
          <wp:inline distT="0" distB="0" distL="0" distR="0">
            <wp:extent cx="5943600" cy="3657600"/>
            <wp:effectExtent l="19050" t="0" r="0" b="0"/>
            <wp:docPr id="8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92975" w:rsidRDefault="00392975" w:rsidP="00CA5DA5">
      <w:pPr>
        <w:spacing w:before="240"/>
        <w:rPr>
          <w:rFonts w:asciiTheme="majorBidi" w:hAnsiTheme="majorBidi" w:cstheme="majorBidi"/>
          <w:b/>
          <w:bCs/>
          <w:sz w:val="24"/>
          <w:szCs w:val="24"/>
        </w:rPr>
      </w:pPr>
    </w:p>
    <w:p w:rsidR="00CA5DA5" w:rsidRDefault="00CA5DA5" w:rsidP="00CA5DA5">
      <w:pPr>
        <w:spacing w:before="2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5. </w:t>
      </w:r>
      <w:r w:rsidRPr="00E64734">
        <w:rPr>
          <w:rFonts w:asciiTheme="majorBidi" w:hAnsiTheme="majorBidi" w:cstheme="majorBidi"/>
          <w:b/>
          <w:bCs/>
          <w:sz w:val="24"/>
          <w:szCs w:val="24"/>
        </w:rPr>
        <w:t>Decese în</w:t>
      </w:r>
      <w:r w:rsidRPr="00F1377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22047">
        <w:rPr>
          <w:rFonts w:asciiTheme="majorBidi" w:hAnsiTheme="majorBidi" w:cstheme="majorBidi"/>
          <w:b/>
          <w:bCs/>
          <w:sz w:val="24"/>
          <w:szCs w:val="24"/>
        </w:rPr>
        <w:t>Căminul-spital pentru deficienți nerecuperabili Moreni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(1986-1989) - </w:t>
      </w:r>
      <w:r w:rsidRPr="00E64734">
        <w:rPr>
          <w:rFonts w:asciiTheme="majorBidi" w:hAnsiTheme="majorBidi" w:cstheme="majorBidi"/>
          <w:b/>
          <w:bCs/>
          <w:sz w:val="24"/>
          <w:szCs w:val="24"/>
        </w:rPr>
        <w:t>pe vârste</w:t>
      </w:r>
    </w:p>
    <w:p w:rsidR="00CA5DA5" w:rsidRPr="00ED7906" w:rsidRDefault="000A580F" w:rsidP="000A580F">
      <w:pPr>
        <w:spacing w:before="240"/>
        <w:rPr>
          <w:rFonts w:asciiTheme="majorBidi" w:hAnsiTheme="majorBidi" w:cstheme="majorBidi"/>
          <w:b/>
          <w:bCs/>
          <w:sz w:val="24"/>
          <w:szCs w:val="24"/>
        </w:rPr>
      </w:pPr>
      <w:r w:rsidRPr="000A580F"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6019800" cy="3771900"/>
            <wp:effectExtent l="0" t="0" r="0" b="0"/>
            <wp:docPr id="9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A5DA5" w:rsidRDefault="00CA5DA5" w:rsidP="00CA5DA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6. </w:t>
      </w:r>
      <w:r w:rsidRPr="00E64734">
        <w:rPr>
          <w:rFonts w:asciiTheme="majorBidi" w:hAnsiTheme="majorBidi" w:cstheme="majorBidi"/>
          <w:b/>
          <w:bCs/>
          <w:sz w:val="24"/>
          <w:szCs w:val="24"/>
        </w:rPr>
        <w:t>Decese în</w:t>
      </w:r>
      <w:r w:rsidRPr="00F1377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22047">
        <w:rPr>
          <w:rFonts w:asciiTheme="majorBidi" w:hAnsiTheme="majorBidi" w:cstheme="majorBidi"/>
          <w:b/>
          <w:bCs/>
          <w:sz w:val="24"/>
          <w:szCs w:val="24"/>
        </w:rPr>
        <w:t>Căminul-spital pentru deficienți nerecuperabili Moreni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(1986-1989) – </w:t>
      </w:r>
      <w:r w:rsidRPr="00E64734">
        <w:rPr>
          <w:rFonts w:asciiTheme="majorBidi" w:hAnsiTheme="majorBidi" w:cstheme="majorBidi"/>
          <w:b/>
          <w:bCs/>
          <w:sz w:val="24"/>
          <w:szCs w:val="24"/>
        </w:rPr>
        <w:t>pe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grupe de</w:t>
      </w:r>
      <w:r w:rsidRPr="00E64734">
        <w:rPr>
          <w:rFonts w:asciiTheme="majorBidi" w:hAnsiTheme="majorBidi" w:cstheme="majorBidi"/>
          <w:b/>
          <w:bCs/>
          <w:sz w:val="24"/>
          <w:szCs w:val="24"/>
        </w:rPr>
        <w:t xml:space="preserve"> vârst</w:t>
      </w:r>
      <w:r>
        <w:rPr>
          <w:rFonts w:asciiTheme="majorBidi" w:hAnsiTheme="majorBidi" w:cstheme="majorBidi"/>
          <w:b/>
          <w:bCs/>
          <w:sz w:val="24"/>
          <w:szCs w:val="24"/>
        </w:rPr>
        <w:t>ă</w:t>
      </w:r>
    </w:p>
    <w:p w:rsidR="000A580F" w:rsidRDefault="000A580F" w:rsidP="00CA5DA5">
      <w:r w:rsidRPr="000A580F">
        <w:rPr>
          <w:noProof/>
          <w:lang w:val="en-US"/>
        </w:rPr>
        <w:drawing>
          <wp:inline distT="0" distB="0" distL="0" distR="0">
            <wp:extent cx="5943600" cy="3362325"/>
            <wp:effectExtent l="19050" t="0" r="0" b="0"/>
            <wp:docPr id="1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92975" w:rsidRDefault="00392975" w:rsidP="000941C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03BD2" w:rsidRPr="00703BD2" w:rsidRDefault="00703BD2" w:rsidP="000941C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7. Cauze de deces</w:t>
      </w:r>
      <w:r w:rsidRPr="00E64734">
        <w:rPr>
          <w:rFonts w:asciiTheme="majorBidi" w:hAnsiTheme="majorBidi" w:cstheme="majorBidi"/>
          <w:b/>
          <w:bCs/>
          <w:sz w:val="24"/>
          <w:szCs w:val="24"/>
        </w:rPr>
        <w:t xml:space="preserve"> în</w:t>
      </w:r>
      <w:r w:rsidRPr="00F1377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22047">
        <w:rPr>
          <w:rFonts w:asciiTheme="majorBidi" w:hAnsiTheme="majorBidi" w:cstheme="majorBidi"/>
          <w:b/>
          <w:bCs/>
          <w:sz w:val="24"/>
          <w:szCs w:val="24"/>
        </w:rPr>
        <w:t>Căminul-spital pentru deficienți nerecuperabili Moreni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(19</w:t>
      </w:r>
      <w:r w:rsidR="000941CE">
        <w:rPr>
          <w:rFonts w:asciiTheme="majorBidi" w:hAnsiTheme="majorBidi" w:cstheme="majorBidi"/>
          <w:b/>
          <w:bCs/>
          <w:sz w:val="24"/>
          <w:szCs w:val="24"/>
        </w:rPr>
        <w:t>70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-1989) </w:t>
      </w:r>
    </w:p>
    <w:p w:rsidR="00703BD2" w:rsidRDefault="00703BD2" w:rsidP="00CA5DA5">
      <w:r w:rsidRPr="00703BD2">
        <w:rPr>
          <w:noProof/>
          <w:lang w:val="en-US"/>
        </w:rPr>
        <w:drawing>
          <wp:inline distT="0" distB="0" distL="0" distR="0">
            <wp:extent cx="5943600" cy="3800475"/>
            <wp:effectExtent l="1905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03BD2" w:rsidRDefault="00703BD2" w:rsidP="00703BD2">
      <w:pPr>
        <w:spacing w:before="360" w:after="0"/>
        <w:jc w:val="lowKashida"/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8. </w:t>
      </w:r>
      <w:r w:rsidRPr="00E64734">
        <w:rPr>
          <w:rFonts w:asciiTheme="majorBidi" w:hAnsiTheme="majorBidi" w:cstheme="majorBidi"/>
          <w:b/>
          <w:bCs/>
          <w:sz w:val="24"/>
          <w:szCs w:val="24"/>
        </w:rPr>
        <w:t>Decese în</w:t>
      </w:r>
      <w:r w:rsidRPr="00F1377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22047">
        <w:rPr>
          <w:rFonts w:asciiTheme="majorBidi" w:hAnsiTheme="majorBidi" w:cstheme="majorBidi"/>
          <w:b/>
          <w:bCs/>
          <w:sz w:val="24"/>
          <w:szCs w:val="24"/>
        </w:rPr>
        <w:t>Căminul-spital pentru deficienți nerecuperabili Moreni</w:t>
      </w:r>
      <w:r w:rsidR="000941CE">
        <w:rPr>
          <w:rFonts w:asciiTheme="majorBidi" w:hAnsiTheme="majorBidi" w:cstheme="majorBidi"/>
          <w:b/>
          <w:bCs/>
          <w:sz w:val="24"/>
          <w:szCs w:val="24"/>
        </w:rPr>
        <w:t xml:space="preserve"> (1970</w:t>
      </w:r>
      <w:r>
        <w:rPr>
          <w:rFonts w:asciiTheme="majorBidi" w:hAnsiTheme="majorBidi" w:cstheme="majorBidi"/>
          <w:b/>
          <w:bCs/>
          <w:sz w:val="24"/>
          <w:szCs w:val="24"/>
        </w:rPr>
        <w:t>-1989) – după locul de proveniență</w:t>
      </w:r>
    </w:p>
    <w:p w:rsidR="00703BD2" w:rsidRDefault="00703BD2" w:rsidP="00CA5DA5">
      <w:r w:rsidRPr="00703BD2">
        <w:rPr>
          <w:noProof/>
          <w:lang w:val="en-US"/>
        </w:rPr>
        <w:drawing>
          <wp:inline distT="0" distB="0" distL="0" distR="0">
            <wp:extent cx="6276975" cy="3276600"/>
            <wp:effectExtent l="19050" t="0" r="0" b="0"/>
            <wp:docPr id="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92975" w:rsidRPr="00392975" w:rsidRDefault="00392975" w:rsidP="00392975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392975">
        <w:rPr>
          <w:rFonts w:asciiTheme="majorBidi" w:hAnsiTheme="majorBidi" w:cstheme="majorBidi"/>
          <w:b/>
          <w:bCs/>
          <w:sz w:val="24"/>
          <w:szCs w:val="24"/>
        </w:rPr>
        <w:t>Întocmit Florin S. Soare – expert IICCMER</w:t>
      </w:r>
    </w:p>
    <w:sectPr w:rsidR="00392975" w:rsidRPr="00392975" w:rsidSect="0039297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284" w:rsidRDefault="00631284" w:rsidP="00ED7906">
      <w:pPr>
        <w:spacing w:after="0" w:line="240" w:lineRule="auto"/>
      </w:pPr>
      <w:r>
        <w:separator/>
      </w:r>
    </w:p>
  </w:endnote>
  <w:endnote w:type="continuationSeparator" w:id="0">
    <w:p w:rsidR="00631284" w:rsidRDefault="00631284" w:rsidP="00ED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284" w:rsidRDefault="00631284" w:rsidP="00ED7906">
      <w:pPr>
        <w:spacing w:after="0" w:line="240" w:lineRule="auto"/>
      </w:pPr>
      <w:r>
        <w:separator/>
      </w:r>
    </w:p>
  </w:footnote>
  <w:footnote w:type="continuationSeparator" w:id="0">
    <w:p w:rsidR="00631284" w:rsidRDefault="00631284" w:rsidP="00ED7906">
      <w:pPr>
        <w:spacing w:after="0" w:line="240" w:lineRule="auto"/>
      </w:pPr>
      <w:r>
        <w:continuationSeparator/>
      </w:r>
    </w:p>
  </w:footnote>
  <w:footnote w:id="1">
    <w:p w:rsidR="00ED7906" w:rsidRPr="00ED7906" w:rsidRDefault="00ED7906" w:rsidP="00ED790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E64734">
        <w:rPr>
          <w:rFonts w:asciiTheme="majorBidi" w:hAnsiTheme="majorBidi" w:cstheme="majorBidi"/>
        </w:rPr>
        <w:t>Sursa datelor: Actele de deces, ac</w:t>
      </w:r>
      <w:r>
        <w:rPr>
          <w:rFonts w:asciiTheme="majorBidi" w:hAnsiTheme="majorBidi" w:cstheme="majorBidi"/>
        </w:rPr>
        <w:t xml:space="preserve">tele constatatoare de decese, </w:t>
      </w:r>
      <w:r w:rsidRPr="00E64734">
        <w:rPr>
          <w:rFonts w:asciiTheme="majorBidi" w:hAnsiTheme="majorBidi" w:cstheme="majorBidi"/>
        </w:rPr>
        <w:t xml:space="preserve">dosarele medicale şi sociale ale minorilor internaţi, </w:t>
      </w:r>
      <w:r>
        <w:rPr>
          <w:rFonts w:asciiTheme="majorBidi" w:hAnsiTheme="majorBidi" w:cstheme="majorBidi"/>
        </w:rPr>
        <w:t xml:space="preserve">registrele de internare ale minorilor, </w:t>
      </w:r>
      <w:r w:rsidRPr="00E64734">
        <w:rPr>
          <w:rFonts w:asciiTheme="majorBidi" w:hAnsiTheme="majorBidi" w:cstheme="majorBidi"/>
        </w:rPr>
        <w:t xml:space="preserve">documente provenite din Arhiva Primăriei </w:t>
      </w:r>
      <w:r>
        <w:rPr>
          <w:rFonts w:asciiTheme="majorBidi" w:hAnsiTheme="majorBidi" w:cstheme="majorBidi"/>
        </w:rPr>
        <w:t xml:space="preserve">Moreni și Arhiva CIA </w:t>
      </w:r>
      <w:proofErr w:type="spellStart"/>
      <w:r>
        <w:rPr>
          <w:rFonts w:asciiTheme="majorBidi" w:hAnsiTheme="majorBidi" w:cstheme="majorBidi"/>
        </w:rPr>
        <w:t>Țuicani</w:t>
      </w:r>
      <w:proofErr w:type="spellEnd"/>
      <w:r w:rsidRPr="00E64734">
        <w:rPr>
          <w:rFonts w:asciiTheme="majorBidi" w:hAnsiTheme="majorBidi" w:cstheme="majorBidi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C82"/>
    <w:rsid w:val="000941CE"/>
    <w:rsid w:val="000A53B9"/>
    <w:rsid w:val="000A580F"/>
    <w:rsid w:val="001B6F95"/>
    <w:rsid w:val="001B76CC"/>
    <w:rsid w:val="00392975"/>
    <w:rsid w:val="00456C82"/>
    <w:rsid w:val="004D1980"/>
    <w:rsid w:val="00631284"/>
    <w:rsid w:val="00703BD2"/>
    <w:rsid w:val="007D2643"/>
    <w:rsid w:val="00880E52"/>
    <w:rsid w:val="009620EC"/>
    <w:rsid w:val="0098467D"/>
    <w:rsid w:val="00A002CC"/>
    <w:rsid w:val="00A51948"/>
    <w:rsid w:val="00C10940"/>
    <w:rsid w:val="00CA5DA5"/>
    <w:rsid w:val="00D22047"/>
    <w:rsid w:val="00E27C6A"/>
    <w:rsid w:val="00ED7906"/>
    <w:rsid w:val="00F01359"/>
    <w:rsid w:val="00F1377A"/>
    <w:rsid w:val="00F34C4C"/>
    <w:rsid w:val="00F61A5A"/>
    <w:rsid w:val="00FA4560"/>
    <w:rsid w:val="00FC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A5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82"/>
    <w:rPr>
      <w:rFonts w:ascii="Tahoma" w:hAnsi="Tahoma" w:cs="Tahoma"/>
      <w:sz w:val="16"/>
      <w:szCs w:val="16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9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906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ED790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S\Desktop\MORENI%20FINAL%20(Autosaved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S\Desktop\MORENI%20FINAL%20(Autosaved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S\Desktop\MORENI%20FINAL%20(Autosaved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S\Desktop\MORENI%20FINAL%20(Autosaved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S\Desktop\MORENI%20FINAL%20(Autosaved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S\Desktop\MORENI%20FINAL%20(Autosaved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S\Desktop\MORENI%20FINAL%20(Autosaved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S\Desktop\MORENI%20FINAL%20(Autosaved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5.7574533952486844E-2"/>
          <c:y val="3.1835181892586009E-2"/>
          <c:w val="0.92787552998182921"/>
          <c:h val="0.76871616545193222"/>
        </c:manualLayout>
      </c:layout>
      <c:barChart>
        <c:barDir val="col"/>
        <c:grouping val="clustered"/>
        <c:ser>
          <c:idx val="0"/>
          <c:order val="0"/>
          <c:tx>
            <c:v>Număr decese</c:v>
          </c:tx>
          <c:dLbls>
            <c:txPr>
              <a:bodyPr/>
              <a:lstStyle/>
              <a:p>
                <a:pPr>
                  <a:defRPr sz="1100" b="1"/>
                </a:pPr>
                <a:endParaRPr lang="en-US"/>
              </a:p>
            </c:txPr>
            <c:showVal val="1"/>
          </c:dLbls>
          <c:cat>
            <c:strRef>
              <c:f>'Decedati pe ani'!$M$1:$AN$1</c:f>
              <c:strCache>
                <c:ptCount val="28"/>
                <c:pt idx="0">
                  <c:v>legea 3 1970</c:v>
                </c:pt>
                <c:pt idx="1">
                  <c:v>1971</c:v>
                </c:pt>
                <c:pt idx="2">
                  <c:v>1972</c:v>
                </c:pt>
                <c:pt idx="3">
                  <c:v>1973</c:v>
                </c:pt>
                <c:pt idx="4">
                  <c:v>1974</c:v>
                </c:pt>
                <c:pt idx="5">
                  <c:v>1975</c:v>
                </c:pt>
                <c:pt idx="6">
                  <c:v>1976</c:v>
                </c:pt>
                <c:pt idx="7">
                  <c:v>1977</c:v>
                </c:pt>
                <c:pt idx="8">
                  <c:v>1978</c:v>
                </c:pt>
                <c:pt idx="9">
                  <c:v>1979</c:v>
                </c:pt>
                <c:pt idx="10">
                  <c:v>1980</c:v>
                </c:pt>
                <c:pt idx="11">
                  <c:v>1981</c:v>
                </c:pt>
                <c:pt idx="12">
                  <c:v>1982</c:v>
                </c:pt>
                <c:pt idx="13">
                  <c:v>1983</c:v>
                </c:pt>
                <c:pt idx="14">
                  <c:v>1984</c:v>
                </c:pt>
                <c:pt idx="15">
                  <c:v>1985</c:v>
                </c:pt>
                <c:pt idx="16">
                  <c:v>1986</c:v>
                </c:pt>
                <c:pt idx="17">
                  <c:v>1987</c:v>
                </c:pt>
                <c:pt idx="18">
                  <c:v>1988</c:v>
                </c:pt>
                <c:pt idx="19">
                  <c:v>1989</c:v>
                </c:pt>
                <c:pt idx="20">
                  <c:v>1990</c:v>
                </c:pt>
                <c:pt idx="21">
                  <c:v>1991</c:v>
                </c:pt>
                <c:pt idx="22">
                  <c:v>1992</c:v>
                </c:pt>
                <c:pt idx="23">
                  <c:v>1993</c:v>
                </c:pt>
                <c:pt idx="24">
                  <c:v>1994</c:v>
                </c:pt>
                <c:pt idx="25">
                  <c:v>1995</c:v>
                </c:pt>
                <c:pt idx="26">
                  <c:v>1996</c:v>
                </c:pt>
                <c:pt idx="27">
                  <c:v>1997</c:v>
                </c:pt>
              </c:strCache>
            </c:strRef>
          </c:cat>
          <c:val>
            <c:numRef>
              <c:f>'Decedati pe ani'!$M$14:$AN$14</c:f>
              <c:numCache>
                <c:formatCode>General</c:formatCode>
                <c:ptCount val="28"/>
                <c:pt idx="0">
                  <c:v>0</c:v>
                </c:pt>
                <c:pt idx="1">
                  <c:v>11</c:v>
                </c:pt>
                <c:pt idx="2">
                  <c:v>10</c:v>
                </c:pt>
                <c:pt idx="3">
                  <c:v>4</c:v>
                </c:pt>
                <c:pt idx="4">
                  <c:v>4</c:v>
                </c:pt>
                <c:pt idx="5">
                  <c:v>16</c:v>
                </c:pt>
                <c:pt idx="6">
                  <c:v>15</c:v>
                </c:pt>
                <c:pt idx="7">
                  <c:v>3</c:v>
                </c:pt>
                <c:pt idx="8">
                  <c:v>5</c:v>
                </c:pt>
                <c:pt idx="9">
                  <c:v>11</c:v>
                </c:pt>
                <c:pt idx="10">
                  <c:v>9</c:v>
                </c:pt>
                <c:pt idx="11">
                  <c:v>11</c:v>
                </c:pt>
                <c:pt idx="12">
                  <c:v>9</c:v>
                </c:pt>
                <c:pt idx="13">
                  <c:v>21</c:v>
                </c:pt>
                <c:pt idx="14">
                  <c:v>15</c:v>
                </c:pt>
                <c:pt idx="15">
                  <c:v>28</c:v>
                </c:pt>
                <c:pt idx="16">
                  <c:v>50</c:v>
                </c:pt>
                <c:pt idx="17">
                  <c:v>81</c:v>
                </c:pt>
                <c:pt idx="18">
                  <c:v>103</c:v>
                </c:pt>
                <c:pt idx="19">
                  <c:v>74</c:v>
                </c:pt>
                <c:pt idx="20">
                  <c:v>19</c:v>
                </c:pt>
                <c:pt idx="21">
                  <c:v>4</c:v>
                </c:pt>
                <c:pt idx="22">
                  <c:v>5</c:v>
                </c:pt>
                <c:pt idx="23">
                  <c:v>3</c:v>
                </c:pt>
                <c:pt idx="24">
                  <c:v>9</c:v>
                </c:pt>
                <c:pt idx="25">
                  <c:v>11</c:v>
                </c:pt>
                <c:pt idx="26">
                  <c:v>3</c:v>
                </c:pt>
                <c:pt idx="27">
                  <c:v>1</c:v>
                </c:pt>
              </c:numCache>
            </c:numRef>
          </c:val>
        </c:ser>
        <c:axId val="55777920"/>
        <c:axId val="55808384"/>
      </c:barChart>
      <c:catAx>
        <c:axId val="55777920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/>
            </a:pPr>
            <a:endParaRPr lang="en-US"/>
          </a:p>
        </c:txPr>
        <c:crossAx val="55808384"/>
        <c:crosses val="autoZero"/>
        <c:auto val="1"/>
        <c:lblAlgn val="ctr"/>
        <c:lblOffset val="100"/>
      </c:catAx>
      <c:valAx>
        <c:axId val="5580838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100" b="1"/>
            </a:pPr>
            <a:endParaRPr lang="en-US"/>
          </a:p>
        </c:txPr>
        <c:crossAx val="557779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67864593848862"/>
          <c:y val="6.562341656335284E-2"/>
          <c:w val="0.22765377885456617"/>
          <c:h val="4.2299204807440462E-2"/>
        </c:manualLayout>
      </c:layout>
      <c:txPr>
        <a:bodyPr/>
        <a:lstStyle/>
        <a:p>
          <a:pPr>
            <a:defRPr b="1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5.4342701006423647E-2"/>
          <c:y val="2.8931832464604009E-2"/>
          <c:w val="0.9274092585212077"/>
          <c:h val="0.72392887985775967"/>
        </c:manualLayout>
      </c:layout>
      <c:barChart>
        <c:barDir val="col"/>
        <c:grouping val="clustered"/>
        <c:ser>
          <c:idx val="0"/>
          <c:order val="0"/>
          <c:tx>
            <c:v>Număr decese</c:v>
          </c:tx>
          <c:dLbls>
            <c:txPr>
              <a:bodyPr/>
              <a:lstStyle/>
              <a:p>
                <a:pPr>
                  <a:defRPr sz="1100" b="1"/>
                </a:pPr>
                <a:endParaRPr lang="en-US"/>
              </a:p>
            </c:txPr>
            <c:showVal val="1"/>
          </c:dLbls>
          <c:cat>
            <c:strRef>
              <c:f>'Decedati pe ani'!$A$2:$A$13</c:f>
              <c:strCache>
                <c:ptCount val="12"/>
                <c:pt idx="0">
                  <c:v>Ianuarie</c:v>
                </c:pt>
                <c:pt idx="1">
                  <c:v>Februarie</c:v>
                </c:pt>
                <c:pt idx="2">
                  <c:v>Martie</c:v>
                </c:pt>
                <c:pt idx="3">
                  <c:v>Aprilie</c:v>
                </c:pt>
                <c:pt idx="4">
                  <c:v>Mai</c:v>
                </c:pt>
                <c:pt idx="5">
                  <c:v>Iunie</c:v>
                </c:pt>
                <c:pt idx="6">
                  <c:v>Iulie</c:v>
                </c:pt>
                <c:pt idx="7">
                  <c:v>August</c:v>
                </c:pt>
                <c:pt idx="8">
                  <c:v>Septembrie</c:v>
                </c:pt>
                <c:pt idx="9">
                  <c:v>Octombrie</c:v>
                </c:pt>
                <c:pt idx="10">
                  <c:v>Noiembrie</c:v>
                </c:pt>
                <c:pt idx="11">
                  <c:v>Decembrie</c:v>
                </c:pt>
              </c:strCache>
            </c:strRef>
          </c:cat>
          <c:val>
            <c:numRef>
              <c:f>'Decedati pe ani'!$BZ$2:$BZ$13</c:f>
              <c:numCache>
                <c:formatCode>General</c:formatCode>
                <c:ptCount val="12"/>
                <c:pt idx="0">
                  <c:v>39</c:v>
                </c:pt>
                <c:pt idx="1">
                  <c:v>34</c:v>
                </c:pt>
                <c:pt idx="2">
                  <c:v>35</c:v>
                </c:pt>
                <c:pt idx="3">
                  <c:v>38</c:v>
                </c:pt>
                <c:pt idx="4">
                  <c:v>43</c:v>
                </c:pt>
                <c:pt idx="5">
                  <c:v>44</c:v>
                </c:pt>
                <c:pt idx="6">
                  <c:v>64</c:v>
                </c:pt>
                <c:pt idx="7">
                  <c:v>51</c:v>
                </c:pt>
                <c:pt idx="8">
                  <c:v>72</c:v>
                </c:pt>
                <c:pt idx="9">
                  <c:v>49</c:v>
                </c:pt>
                <c:pt idx="10">
                  <c:v>33</c:v>
                </c:pt>
                <c:pt idx="11">
                  <c:v>47</c:v>
                </c:pt>
              </c:numCache>
            </c:numRef>
          </c:val>
        </c:ser>
        <c:axId val="55815552"/>
        <c:axId val="55817344"/>
      </c:barChart>
      <c:catAx>
        <c:axId val="55815552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/>
            </a:pPr>
            <a:endParaRPr lang="en-US"/>
          </a:p>
        </c:txPr>
        <c:crossAx val="55817344"/>
        <c:crosses val="autoZero"/>
        <c:auto val="1"/>
        <c:lblAlgn val="ctr"/>
        <c:lblOffset val="100"/>
      </c:catAx>
      <c:valAx>
        <c:axId val="5581734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100" b="1"/>
            </a:pPr>
            <a:endParaRPr lang="en-US"/>
          </a:p>
        </c:txPr>
        <c:crossAx val="55815552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b="1"/>
            </a:pPr>
            <a:endParaRPr lang="en-US"/>
          </a:p>
        </c:txPr>
      </c:legendEntry>
      <c:layout>
        <c:manualLayout>
          <c:xMode val="edge"/>
          <c:yMode val="edge"/>
          <c:x val="0.77926105390672362"/>
          <c:y val="4.6104140208280346E-2"/>
          <c:w val="0.21795107342351436"/>
          <c:h val="6.8254677842689113E-2"/>
        </c:manualLayout>
      </c:layout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plotArea>
      <c:layout>
        <c:manualLayout>
          <c:layoutTarget val="inner"/>
          <c:xMode val="edge"/>
          <c:yMode val="edge"/>
          <c:x val="5.9189735953492924E-2"/>
          <c:y val="3.0027098539660242E-2"/>
          <c:w val="0.91596883484120351"/>
          <c:h val="0.83620237125531727"/>
        </c:manualLayout>
      </c:layout>
      <c:barChart>
        <c:barDir val="col"/>
        <c:grouping val="clustered"/>
        <c:ser>
          <c:idx val="0"/>
          <c:order val="0"/>
          <c:tx>
            <c:v>Număr decese</c:v>
          </c:tx>
          <c:dLbls>
            <c:txPr>
              <a:bodyPr/>
              <a:lstStyle/>
              <a:p>
                <a:pPr>
                  <a:defRPr sz="1100" b="1"/>
                </a:pPr>
                <a:endParaRPr lang="en-US"/>
              </a:p>
            </c:txPr>
            <c:showVal val="1"/>
          </c:dLbls>
          <c:cat>
            <c:strRef>
              <c:f>'Grupe varsta'!$A$2:$A$18</c:f>
              <c:strCache>
                <c:ptCount val="17"/>
                <c:pt idx="0">
                  <c:v>sub 3 ani</c:v>
                </c:pt>
                <c:pt idx="1">
                  <c:v>3 ani</c:v>
                </c:pt>
                <c:pt idx="2">
                  <c:v>4 ani</c:v>
                </c:pt>
                <c:pt idx="3">
                  <c:v>5 ani</c:v>
                </c:pt>
                <c:pt idx="4">
                  <c:v>6 ani</c:v>
                </c:pt>
                <c:pt idx="5">
                  <c:v>7 ani</c:v>
                </c:pt>
                <c:pt idx="6">
                  <c:v>8 ani</c:v>
                </c:pt>
                <c:pt idx="7">
                  <c:v>9 ani</c:v>
                </c:pt>
                <c:pt idx="8">
                  <c:v>10 ani</c:v>
                </c:pt>
                <c:pt idx="9">
                  <c:v>11 ani</c:v>
                </c:pt>
                <c:pt idx="10">
                  <c:v>12 ani</c:v>
                </c:pt>
                <c:pt idx="11">
                  <c:v>13 ani</c:v>
                </c:pt>
                <c:pt idx="12">
                  <c:v>14 ani</c:v>
                </c:pt>
                <c:pt idx="13">
                  <c:v>15 ani</c:v>
                </c:pt>
                <c:pt idx="14">
                  <c:v>16 ani</c:v>
                </c:pt>
                <c:pt idx="15">
                  <c:v>17 ani</c:v>
                </c:pt>
                <c:pt idx="16">
                  <c:v>Peste 18 ani</c:v>
                </c:pt>
              </c:strCache>
            </c:strRef>
          </c:cat>
          <c:val>
            <c:numRef>
              <c:f>'Grupe varsta'!$B$2:$B$18</c:f>
              <c:numCache>
                <c:formatCode>General</c:formatCode>
                <c:ptCount val="17"/>
                <c:pt idx="0">
                  <c:v>2</c:v>
                </c:pt>
                <c:pt idx="1">
                  <c:v>177</c:v>
                </c:pt>
                <c:pt idx="2">
                  <c:v>94</c:v>
                </c:pt>
                <c:pt idx="3">
                  <c:v>44</c:v>
                </c:pt>
                <c:pt idx="4">
                  <c:v>33</c:v>
                </c:pt>
                <c:pt idx="5">
                  <c:v>17</c:v>
                </c:pt>
                <c:pt idx="6">
                  <c:v>15</c:v>
                </c:pt>
                <c:pt idx="7">
                  <c:v>12</c:v>
                </c:pt>
                <c:pt idx="8">
                  <c:v>16</c:v>
                </c:pt>
                <c:pt idx="9">
                  <c:v>9</c:v>
                </c:pt>
                <c:pt idx="10">
                  <c:v>13</c:v>
                </c:pt>
                <c:pt idx="11">
                  <c:v>15</c:v>
                </c:pt>
                <c:pt idx="12">
                  <c:v>5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38</c:v>
                </c:pt>
              </c:numCache>
            </c:numRef>
          </c:val>
        </c:ser>
        <c:axId val="57209984"/>
        <c:axId val="57211520"/>
      </c:barChart>
      <c:catAx>
        <c:axId val="57209984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/>
            </a:pPr>
            <a:endParaRPr lang="en-US"/>
          </a:p>
        </c:txPr>
        <c:crossAx val="57211520"/>
        <c:crosses val="autoZero"/>
        <c:auto val="1"/>
        <c:lblAlgn val="ctr"/>
        <c:lblOffset val="100"/>
      </c:catAx>
      <c:valAx>
        <c:axId val="5721152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100" b="1"/>
            </a:pPr>
            <a:endParaRPr lang="en-US"/>
          </a:p>
        </c:txPr>
        <c:crossAx val="572099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93618345783726"/>
          <c:y val="4.3583052345351397E-2"/>
          <c:w val="0.21858234066895491"/>
          <c:h val="4.8905783328808038E-2"/>
        </c:manualLayout>
      </c:layout>
      <c:txPr>
        <a:bodyPr/>
        <a:lstStyle/>
        <a:p>
          <a:pPr>
            <a:defRPr b="1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000"/>
            </a:pPr>
            <a:r>
              <a:rPr lang="vi-VN" sz="1000"/>
              <a:t>Număr decese/procent</a:t>
            </a:r>
          </a:p>
        </c:rich>
      </c:tx>
      <c:layout>
        <c:manualLayout>
          <c:xMode val="edge"/>
          <c:yMode val="edge"/>
          <c:x val="0.7570568135964687"/>
          <c:y val="2.1768707482993265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9.9462108844293028E-3"/>
          <c:y val="1.6241469816273005E-2"/>
          <c:w val="0.99005378911557052"/>
          <c:h val="0.9783163533129785"/>
        </c:manualLayout>
      </c:layout>
      <c:pie3DChart>
        <c:varyColors val="1"/>
        <c:ser>
          <c:idx val="0"/>
          <c:order val="0"/>
          <c:tx>
            <c:v>Număr decese/procent</c:v>
          </c:tx>
          <c:explosion val="25"/>
          <c:dLbls>
            <c:txPr>
              <a:bodyPr/>
              <a:lstStyle/>
              <a:p>
                <a:pPr>
                  <a:defRPr sz="1100" b="1"/>
                </a:pPr>
                <a:endParaRPr lang="en-US"/>
              </a:p>
            </c:txPr>
            <c:showVal val="1"/>
            <c:showPercent val="1"/>
            <c:showLeaderLines val="1"/>
          </c:dLbls>
          <c:cat>
            <c:strRef>
              <c:f>'Grupe varsta'!$D$22:$D$25</c:f>
              <c:strCache>
                <c:ptCount val="4"/>
                <c:pt idx="0">
                  <c:v>grupa 3-5 ani</c:v>
                </c:pt>
                <c:pt idx="1">
                  <c:v>grupa 6-10 ani</c:v>
                </c:pt>
                <c:pt idx="2">
                  <c:v>grupa 11-17 ani</c:v>
                </c:pt>
                <c:pt idx="3">
                  <c:v>Peste 18 ani</c:v>
                </c:pt>
              </c:strCache>
            </c:strRef>
          </c:cat>
          <c:val>
            <c:numRef>
              <c:f>'Grupe varsta'!$E$22:$E$25</c:f>
              <c:numCache>
                <c:formatCode>General</c:formatCode>
                <c:ptCount val="4"/>
                <c:pt idx="0">
                  <c:v>317</c:v>
                </c:pt>
                <c:pt idx="1">
                  <c:v>93</c:v>
                </c:pt>
                <c:pt idx="2">
                  <c:v>87</c:v>
                </c:pt>
                <c:pt idx="3">
                  <c:v>38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4.9327543506990914E-3"/>
          <c:y val="0.79351975009100306"/>
          <c:w val="0.21086414268738318"/>
          <c:h val="0.19244321476865839"/>
        </c:manualLayout>
      </c:layout>
      <c:txPr>
        <a:bodyPr/>
        <a:lstStyle/>
        <a:p>
          <a:pPr rtl="0">
            <a:defRPr sz="1100" b="1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8.6071741032370933E-2"/>
          <c:y val="5.1400554097404488E-2"/>
          <c:w val="0.89645734908136232"/>
          <c:h val="0.74316816458548762"/>
        </c:manualLayout>
      </c:layout>
      <c:barChart>
        <c:barDir val="col"/>
        <c:grouping val="clustered"/>
        <c:ser>
          <c:idx val="0"/>
          <c:order val="0"/>
          <c:tx>
            <c:v>Număr decese</c:v>
          </c:tx>
          <c:dLbls>
            <c:txPr>
              <a:bodyPr/>
              <a:lstStyle/>
              <a:p>
                <a:pPr>
                  <a:defRPr sz="1100" b="1"/>
                </a:pPr>
                <a:endParaRPr lang="en-US"/>
              </a:p>
            </c:txPr>
            <c:showVal val="1"/>
          </c:dLbls>
          <c:cat>
            <c:strRef>
              <c:f>'Grupe varsta'!$H$2:$H$18</c:f>
              <c:strCache>
                <c:ptCount val="17"/>
                <c:pt idx="0">
                  <c:v>sub 3 ani</c:v>
                </c:pt>
                <c:pt idx="1">
                  <c:v>3 ani</c:v>
                </c:pt>
                <c:pt idx="2">
                  <c:v>4 ani</c:v>
                </c:pt>
                <c:pt idx="3">
                  <c:v>5 ani</c:v>
                </c:pt>
                <c:pt idx="4">
                  <c:v>6 ani</c:v>
                </c:pt>
                <c:pt idx="5">
                  <c:v>7 ani</c:v>
                </c:pt>
                <c:pt idx="6">
                  <c:v>8 ani</c:v>
                </c:pt>
                <c:pt idx="7">
                  <c:v>9 ani</c:v>
                </c:pt>
                <c:pt idx="8">
                  <c:v>10 ani</c:v>
                </c:pt>
                <c:pt idx="9">
                  <c:v>11 ani</c:v>
                </c:pt>
                <c:pt idx="10">
                  <c:v>12 ani</c:v>
                </c:pt>
                <c:pt idx="11">
                  <c:v>13 ani</c:v>
                </c:pt>
                <c:pt idx="12">
                  <c:v>14 ani</c:v>
                </c:pt>
                <c:pt idx="13">
                  <c:v>15 ani</c:v>
                </c:pt>
                <c:pt idx="14">
                  <c:v>16 ani</c:v>
                </c:pt>
                <c:pt idx="15">
                  <c:v>17 ani</c:v>
                </c:pt>
                <c:pt idx="16">
                  <c:v>Peste 18 ani</c:v>
                </c:pt>
              </c:strCache>
            </c:strRef>
          </c:cat>
          <c:val>
            <c:numRef>
              <c:f>'Grupe varsta'!$I$2:$I$18</c:f>
              <c:numCache>
                <c:formatCode>General</c:formatCode>
                <c:ptCount val="17"/>
                <c:pt idx="0">
                  <c:v>1</c:v>
                </c:pt>
                <c:pt idx="1">
                  <c:v>133</c:v>
                </c:pt>
                <c:pt idx="2">
                  <c:v>66</c:v>
                </c:pt>
                <c:pt idx="3">
                  <c:v>25</c:v>
                </c:pt>
                <c:pt idx="4">
                  <c:v>18</c:v>
                </c:pt>
                <c:pt idx="5">
                  <c:v>8</c:v>
                </c:pt>
                <c:pt idx="6">
                  <c:v>8</c:v>
                </c:pt>
                <c:pt idx="7">
                  <c:v>6</c:v>
                </c:pt>
                <c:pt idx="8">
                  <c:v>8</c:v>
                </c:pt>
                <c:pt idx="9">
                  <c:v>2</c:v>
                </c:pt>
                <c:pt idx="10">
                  <c:v>4</c:v>
                </c:pt>
                <c:pt idx="11">
                  <c:v>4</c:v>
                </c:pt>
                <c:pt idx="12">
                  <c:v>2</c:v>
                </c:pt>
                <c:pt idx="13">
                  <c:v>6</c:v>
                </c:pt>
                <c:pt idx="14">
                  <c:v>5</c:v>
                </c:pt>
                <c:pt idx="15">
                  <c:v>8</c:v>
                </c:pt>
                <c:pt idx="16">
                  <c:v>5</c:v>
                </c:pt>
              </c:numCache>
            </c:numRef>
          </c:val>
        </c:ser>
        <c:axId val="58852096"/>
        <c:axId val="58853632"/>
      </c:barChart>
      <c:catAx>
        <c:axId val="58852096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/>
            </a:pPr>
            <a:endParaRPr lang="en-US"/>
          </a:p>
        </c:txPr>
        <c:crossAx val="58853632"/>
        <c:crosses val="autoZero"/>
        <c:auto val="1"/>
        <c:lblAlgn val="ctr"/>
        <c:lblOffset val="100"/>
      </c:catAx>
      <c:valAx>
        <c:axId val="5885363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100" b="1"/>
            </a:pPr>
            <a:endParaRPr lang="en-US"/>
          </a:p>
        </c:txPr>
        <c:crossAx val="58852096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b="1"/>
            </a:pPr>
            <a:endParaRPr lang="en-US"/>
          </a:p>
        </c:txPr>
      </c:legendEntry>
      <c:layout>
        <c:manualLayout>
          <c:xMode val="edge"/>
          <c:yMode val="edge"/>
          <c:x val="0.74792999767434298"/>
          <c:y val="6.9252366181500033E-2"/>
          <c:w val="0.23949516676269186"/>
          <c:h val="4.6277449483881676E-2"/>
        </c:manualLayout>
      </c:layout>
    </c:legend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vi-VN" sz="1000"/>
              <a:t>Număr decese/procent</a:t>
            </a:r>
          </a:p>
        </c:rich>
      </c:tx>
      <c:layout>
        <c:manualLayout>
          <c:xMode val="edge"/>
          <c:yMode val="edge"/>
          <c:x val="0.81341204250295007"/>
          <c:y val="1.8336607727570401E-2"/>
        </c:manualLayout>
      </c:layout>
      <c:spPr>
        <a:ln>
          <a:noFill/>
        </a:ln>
      </c:sp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3.2676328682055361E-2"/>
          <c:y val="7.8585461689587421E-3"/>
          <c:w val="0.90296374110260813"/>
          <c:h val="0.98256392803551651"/>
        </c:manualLayout>
      </c:layout>
      <c:pie3DChart>
        <c:varyColors val="1"/>
        <c:ser>
          <c:idx val="0"/>
          <c:order val="0"/>
          <c:tx>
            <c:v>Număr decese/procent</c:v>
          </c:tx>
          <c:explosion val="25"/>
          <c:dLbls>
            <c:txPr>
              <a:bodyPr/>
              <a:lstStyle/>
              <a:p>
                <a:pPr>
                  <a:defRPr sz="1100" b="1"/>
                </a:pPr>
                <a:endParaRPr lang="en-US"/>
              </a:p>
            </c:txPr>
            <c:showVal val="1"/>
            <c:showPercent val="1"/>
            <c:showLeaderLines val="1"/>
          </c:dLbls>
          <c:cat>
            <c:strRef>
              <c:f>'Grupe varsta'!$D$28:$D$31</c:f>
              <c:strCache>
                <c:ptCount val="4"/>
                <c:pt idx="0">
                  <c:v>grupa 3-5 ani</c:v>
                </c:pt>
                <c:pt idx="1">
                  <c:v>grupa 6-10 ani</c:v>
                </c:pt>
                <c:pt idx="2">
                  <c:v>grupa 11-17 ani</c:v>
                </c:pt>
                <c:pt idx="3">
                  <c:v>Peste 18 ani</c:v>
                </c:pt>
              </c:strCache>
            </c:strRef>
          </c:cat>
          <c:val>
            <c:numRef>
              <c:f>'Grupe varsta'!$E$28:$E$31</c:f>
              <c:numCache>
                <c:formatCode>General</c:formatCode>
                <c:ptCount val="4"/>
                <c:pt idx="0">
                  <c:v>225</c:v>
                </c:pt>
                <c:pt idx="1">
                  <c:v>48</c:v>
                </c:pt>
                <c:pt idx="2">
                  <c:v>31</c:v>
                </c:pt>
                <c:pt idx="3">
                  <c:v>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"/>
          <c:y val="0.72445971165785583"/>
          <c:w val="0.25369001951679065"/>
          <c:h val="0.27394704557114474"/>
        </c:manualLayout>
      </c:layout>
      <c:txPr>
        <a:bodyPr/>
        <a:lstStyle/>
        <a:p>
          <a:pPr rtl="0">
            <a:defRPr sz="1100" b="1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5.5853563219565791E-2"/>
          <c:y val="0"/>
          <c:w val="0.88962233877298758"/>
          <c:h val="0.95443645083932849"/>
        </c:manualLayout>
      </c:layout>
      <c:pie3DChart>
        <c:varyColors val="1"/>
        <c:ser>
          <c:idx val="0"/>
          <c:order val="0"/>
          <c:explosion val="24"/>
          <c:dLbls>
            <c:txPr>
              <a:bodyPr/>
              <a:lstStyle/>
              <a:p>
                <a:pPr>
                  <a:defRPr sz="1100" b="1"/>
                </a:pPr>
                <a:endParaRPr lang="en-US"/>
              </a:p>
            </c:txPr>
            <c:showVal val="1"/>
            <c:showPercent val="1"/>
            <c:showLeaderLines val="1"/>
          </c:dLbls>
          <c:cat>
            <c:strRef>
              <c:f>'Cauze deces'!$F$20:$F$28</c:f>
              <c:strCache>
                <c:ptCount val="9"/>
                <c:pt idx="0">
                  <c:v>Tulburări grave de nutriție</c:v>
                </c:pt>
                <c:pt idx="1">
                  <c:v>Bronhopneumonie</c:v>
                </c:pt>
                <c:pt idx="2">
                  <c:v>Cașexie</c:v>
                </c:pt>
                <c:pt idx="3">
                  <c:v>Altele</c:v>
                </c:pt>
                <c:pt idx="4">
                  <c:v>Encefalopatie cronică infantilă</c:v>
                </c:pt>
                <c:pt idx="5">
                  <c:v>Afectiuni hepatice</c:v>
                </c:pt>
                <c:pt idx="6">
                  <c:v>Epilepsie</c:v>
                </c:pt>
                <c:pt idx="7">
                  <c:v>Enterocolită</c:v>
                </c:pt>
                <c:pt idx="8">
                  <c:v>Hemoragie cerebrală</c:v>
                </c:pt>
              </c:strCache>
            </c:strRef>
          </c:cat>
          <c:val>
            <c:numRef>
              <c:f>'Cauze deces'!$G$20:$G$28</c:f>
              <c:numCache>
                <c:formatCode>General</c:formatCode>
                <c:ptCount val="9"/>
                <c:pt idx="0">
                  <c:v>271</c:v>
                </c:pt>
                <c:pt idx="1">
                  <c:v>137</c:v>
                </c:pt>
                <c:pt idx="2">
                  <c:v>34</c:v>
                </c:pt>
                <c:pt idx="3">
                  <c:v>34</c:v>
                </c:pt>
                <c:pt idx="4">
                  <c:v>17</c:v>
                </c:pt>
                <c:pt idx="5">
                  <c:v>14</c:v>
                </c:pt>
                <c:pt idx="6">
                  <c:v>14</c:v>
                </c:pt>
                <c:pt idx="7">
                  <c:v>8</c:v>
                </c:pt>
                <c:pt idx="8">
                  <c:v>6</c:v>
                </c:pt>
              </c:numCache>
            </c:numRef>
          </c:val>
        </c:ser>
      </c:pie3DChart>
    </c:plotArea>
    <c:legend>
      <c:legendPos val="r"/>
      <c:legendEntry>
        <c:idx val="1"/>
        <c:txPr>
          <a:bodyPr/>
          <a:lstStyle/>
          <a:p>
            <a:pPr rtl="0">
              <a:defRPr sz="1050"/>
            </a:pPr>
            <a:endParaRPr lang="en-US"/>
          </a:p>
        </c:txPr>
      </c:legendEntry>
      <c:legendEntry>
        <c:idx val="2"/>
        <c:txPr>
          <a:bodyPr/>
          <a:lstStyle/>
          <a:p>
            <a:pPr rtl="0">
              <a:defRPr sz="1050"/>
            </a:pPr>
            <a:endParaRPr lang="en-US"/>
          </a:p>
        </c:txPr>
      </c:legendEntry>
      <c:legendEntry>
        <c:idx val="3"/>
        <c:txPr>
          <a:bodyPr/>
          <a:lstStyle/>
          <a:p>
            <a:pPr rtl="0">
              <a:defRPr sz="1050"/>
            </a:pPr>
            <a:endParaRPr lang="en-US"/>
          </a:p>
        </c:txPr>
      </c:legendEntry>
      <c:legendEntry>
        <c:idx val="5"/>
        <c:txPr>
          <a:bodyPr/>
          <a:lstStyle/>
          <a:p>
            <a:pPr rtl="0">
              <a:defRPr sz="1050"/>
            </a:pPr>
            <a:endParaRPr lang="en-US"/>
          </a:p>
        </c:txPr>
      </c:legendEntry>
      <c:legendEntry>
        <c:idx val="6"/>
        <c:txPr>
          <a:bodyPr/>
          <a:lstStyle/>
          <a:p>
            <a:pPr rtl="0">
              <a:defRPr sz="1100"/>
            </a:pPr>
            <a:endParaRPr lang="en-US"/>
          </a:p>
        </c:txPr>
      </c:legendEntry>
      <c:layout>
        <c:manualLayout>
          <c:xMode val="edge"/>
          <c:yMode val="edge"/>
          <c:x val="7.1725547580889226E-4"/>
          <c:y val="0.85360884722937835"/>
          <c:w val="0.97315145702941108"/>
          <c:h val="0.14491960409154486"/>
        </c:manualLayout>
      </c:layout>
      <c:txPr>
        <a:bodyPr/>
        <a:lstStyle/>
        <a:p>
          <a:pPr rtl="0">
            <a:defRPr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1.2112250503570772E-2"/>
          <c:w val="0.87101398364658222"/>
          <c:h val="0.96802356100836229"/>
        </c:manualLayout>
      </c:layout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100" b="1"/>
                </a:pPr>
                <a:endParaRPr lang="en-US"/>
              </a:p>
            </c:txPr>
            <c:showPercent val="1"/>
            <c:showLeaderLines val="1"/>
          </c:dLbls>
          <c:cat>
            <c:strRef>
              <c:f>Provenienţă!$L$2:$L$11</c:f>
              <c:strCache>
                <c:ptCount val="10"/>
                <c:pt idx="0">
                  <c:v>Dâmboviţa</c:v>
                </c:pt>
                <c:pt idx="1">
                  <c:v>Arad</c:v>
                </c:pt>
                <c:pt idx="2">
                  <c:v>București</c:v>
                </c:pt>
                <c:pt idx="3">
                  <c:v>Altele</c:v>
                </c:pt>
                <c:pt idx="4">
                  <c:v>Ialomita</c:v>
                </c:pt>
                <c:pt idx="5">
                  <c:v>Satu Mare</c:v>
                </c:pt>
                <c:pt idx="6">
                  <c:v>Prahova</c:v>
                </c:pt>
                <c:pt idx="7">
                  <c:v>Buzău</c:v>
                </c:pt>
                <c:pt idx="8">
                  <c:v>Călărași</c:v>
                </c:pt>
                <c:pt idx="9">
                  <c:v>Brăila</c:v>
                </c:pt>
              </c:strCache>
            </c:strRef>
          </c:cat>
          <c:val>
            <c:numRef>
              <c:f>Provenienţă!$M$2:$M$11</c:f>
              <c:numCache>
                <c:formatCode>General</c:formatCode>
                <c:ptCount val="10"/>
                <c:pt idx="0">
                  <c:v>134</c:v>
                </c:pt>
                <c:pt idx="1">
                  <c:v>120</c:v>
                </c:pt>
                <c:pt idx="2">
                  <c:v>65</c:v>
                </c:pt>
                <c:pt idx="3">
                  <c:v>50</c:v>
                </c:pt>
                <c:pt idx="4">
                  <c:v>48</c:v>
                </c:pt>
                <c:pt idx="5">
                  <c:v>46</c:v>
                </c:pt>
                <c:pt idx="6">
                  <c:v>19</c:v>
                </c:pt>
                <c:pt idx="7">
                  <c:v>19</c:v>
                </c:pt>
                <c:pt idx="8">
                  <c:v>19</c:v>
                </c:pt>
                <c:pt idx="9">
                  <c:v>15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 rtl="0">
            <a:defRPr sz="1200" b="1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4E85A-B729-4B6B-83B7-BF9C165A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</dc:creator>
  <cp:lastModifiedBy>PCS</cp:lastModifiedBy>
  <cp:revision>2</cp:revision>
  <cp:lastPrinted>2025-12-30T14:07:00Z</cp:lastPrinted>
  <dcterms:created xsi:type="dcterms:W3CDTF">2026-01-26T14:12:00Z</dcterms:created>
  <dcterms:modified xsi:type="dcterms:W3CDTF">2026-01-26T14:12:00Z</dcterms:modified>
</cp:coreProperties>
</file>